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3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&lt;p&gt;&lt;b&gt;Mark&amp;nbsp;3&lt;/b&gt;&lt;/p&gt;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</w:t>
      </w:r>
      <w:r w:rsidDel="00000000" w:rsidR="00000000" w:rsidRPr="00000000">
        <w:rPr>
          <w:rtl w:val="0"/>
        </w:rPr>
        <w:t xml:space="preserve">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εἰσ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ελθ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εἰσῆλθε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πάλιν εἰς τὴν συναγωγήν·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ἐσ </w:t>
      </w:r>
      <w:r w:rsidDel="00000000" w:rsidR="00000000" w:rsidRPr="00000000">
        <w:rPr>
          <w:sz w:val="24"/>
          <w:szCs w:val="24"/>
          <w:rtl w:val="0"/>
        </w:rPr>
        <w:t xml:space="preserve">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ἐκεῖ ἄνθρωπος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μέν ην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ἐξηραμμένην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χεῖρα.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παρα ε τηρε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παρετήρουν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αὐτὸν εἰ τοῖς σάββασι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θεραπευ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θεραπεύσει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αὐτόν,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❻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 αγορε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ν</w:t>
      </w:r>
      <w:r w:rsidDel="00000000" w:rsidR="00000000" w:rsidRPr="00000000">
        <w:rPr>
          <w:sz w:val="24"/>
          <w:szCs w:val="24"/>
          <w:rtl w:val="0"/>
        </w:rPr>
        <w:t xml:space="preserve">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κατηγορήσωσιν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αὐτοῦ.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τῷ ἀνθρώπῳ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μέν ην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ἐξηραμμένην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ἔχοντι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χεῖρα·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ἐγειρ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ἔγειρε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μέσον.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εσ τι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ἔξεστι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σάββασιν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ἀγαθοποιε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ἀγαθοποιῆσαι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ἢ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κακοποιε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κακοποιῆσαι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ψυχὴν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σω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σῶσαι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ἢ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κτεν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ἀποκτεῖναι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οἱ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σιωπα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ἐσιώπων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.&lt;/a&gt;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περι βλεπ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περιβλεψάμενος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μετ᾿ ὀργῆς,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λυπε ο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συλλυπούμενος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τῇ πωρώσει τῆς καρδίας αὐτῶν,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τῷ ἀνθρώπῳ·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τεν σα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ἔκτεινον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χεῖρά σου.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 τεν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ἐξέτεινε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κατα ε στα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ἀποκατεστάθη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χεὶρ αὐτοῦ ὑγιὴς ὡς ἡ ἄλλη.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ελθ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ἐξελθόντες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οἱ Φαρισαῖοι εὐθέως μετὰ τῶν ῾Ηρῳδιανῶν συμβούλιον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ποιε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ἐποίουν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κατ᾿ αὐτοῦ, ὅπως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ολε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ἀπολέσωσι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ὁ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χωρε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ἀνεχώρησε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μετὰ τῶν μαθητῶν αὐτοῦ πρὸς τὴν θάλασσαν· καὶ πολὺ πλῆθος ἀπὸ τῆς Γαλιλαίας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ἀκολοθε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ἠκολούθησαν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αὐτῷ, καὶ ἀπὸ τῆς ᾿Ιουδαίας καὶ ἀπὸ ῾Ιεροσολύμων καὶ ἀπὸ τῆς ᾿Ιδουμαίας καὶ πέραν τοῦ ᾿Ιορδάνου καὶ οἱ περὶ Τύρον καὶ Σιδῶνα, πλῆθος πολύ,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σα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ὅσα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ἐποίει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ἐλθ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επ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μαθηταῖς αὐτοῦ ἵνα πλοιάριον προσκαρτερῇ αὐτῷ διὰ τὸν ὄχλον, ἵνα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θλιβ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ν</w:t>
      </w:r>
      <w:r w:rsidDel="00000000" w:rsidR="00000000" w:rsidRPr="00000000">
        <w:rPr>
          <w:sz w:val="24"/>
          <w:szCs w:val="24"/>
          <w:rtl w:val="0"/>
        </w:rPr>
        <w:t xml:space="preserve">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θλίβωσιν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αὐτόν· πολλοὺς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θεραπευ σα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ἐθεράπευσεν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ὥστε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πιπτ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ἐπιπίπτειν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 ἵνα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ἁπτ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ἅψωνται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ὅσοι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 σεχ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εἶχον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μάστιγας· καὶ τὰ πνεύματα τὰ ἀκάθαρτα, ὅταν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θεωρε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ἐθεώρουν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ε πιπτ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προσέπιπτον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κραζ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ἔκραζον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λέγοντα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σὺ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υἱὸς τοῦ Θεοῦ. καὶ πολλὰ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τιμα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ἐπετίμα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ἵνα μὴ φανερὸν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ποιήσωσι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βαιν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ὄρος,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καλε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προσκαλεῖται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οὓς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</w:t>
      </w:r>
      <w:r w:rsidDel="00000000" w:rsidR="00000000" w:rsidRPr="00000000">
        <w:rPr>
          <w:sz w:val="24"/>
          <w:szCs w:val="24"/>
          <w:rtl w:val="0"/>
        </w:rPr>
        <w:t xml:space="preserve">θελ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ἤθελεν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ἐθελ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ἀπῆλθον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αὐτόν. καὶ ἐποίησε δώδεκα,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</w:t>
      </w:r>
      <w:r w:rsidDel="00000000" w:rsidR="00000000" w:rsidRPr="00000000">
        <w:rPr>
          <w:sz w:val="24"/>
          <w:szCs w:val="24"/>
          <w:rtl w:val="0"/>
        </w:rPr>
        <w:t xml:space="preserve">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ὦσι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μετ᾿ αὐτοῦ καὶ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στελλ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ἀποστέλλῃ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κηρυσσ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κηρύσσειν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ἐξουσίαν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θεραπευ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θεραπεύειν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τὰς νόσους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δαιμόνια·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θε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ἐπέθηκεν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ὄνομα τῷ Σίμωνι Πέτρον, καὶ ᾿Ιάκωβον τὸν τοῦ Ζεβεδαίου καὶ ᾿Ιωάννην τὸν ἀδελφὸν τοῦ ᾿Ιακώβου·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θε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ἐπέθηκεν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ὀνόματα Βοανεργές, 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υἱοὶ βροντῆς· καὶ ᾿Ανδρέαν καὶ Φίλιππον καὶ Βαρθολομαῖον καὶ Ματθαῖον καὶ Θωμᾶν καὶ ᾿Ιάκωβον τὸν τοῦ ᾿Αλφαίου καὶ Θαδδαῖον καὶ Σίμωνα τὸν Κανανίτην καὶ ᾿Ιούδαν ᾿Ισκαριώτην, ὃς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παρα ε δο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παρέδωκεν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αὐτόν.&lt;/p&gt;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ἐρχ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ἔρχονται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οἶκον·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ερχ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συνέρχεται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πάλιν ὄχλος, ὥστε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μηδὲ ἄρτον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φαγ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φαγεῖν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σα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οἱ παρ᾿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ελθ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ἐξῆλθον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κρατε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κρατῆσαι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 στη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ἐξέστη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οἱ γραμματεῖς οἱ ἀπὸ ῾Ιεροσολύμων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βα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καταβάντες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Βεελζεβοὺλ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ὅτι ἐν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ἄρχ ο ντ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ἄρχοντι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τῶν δαιμονίων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δαιμόνια.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καλε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προσκαλεσάμενος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ἐν παραβολαῖς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πῶς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σατανᾶς σατανᾶν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καὶ ἐὰν βασιλεία ἐφ᾿ ἑαυτὴν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μεριζ θε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μερισθῇ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βασιλεία ἐκείνη· καὶ ἐὰν οἰκία ἐφ᾿ ἑαυτὴν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μεριζ θε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μερισθῇ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οἰκία ἐκείνη. καὶ εἰ ὁ σατανᾶς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στη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ἀνέστη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ἐφ᾿ ἑαυτὸν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 μεριζ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μεμέρισται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ἀλλὰ τέλος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οὐδεὶς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σκεύη τοῦ ἰσχυροῦ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εἰσ ελθ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εἰσελθὼν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τὴν οἰκίαν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δια αρπαζ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διαρπάσαι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ἐὰν μὴ πρῶτον τὸν ἰσχυρὸν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δε σα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τότε τὴν οἰκίαν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δια αρπαζ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διαρπάσει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&lt;p&gt;᾿Αμὴν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 ὅτι πάντα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❻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θη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ἀφεθήσεται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υἱοῖς τῶν ἀνθρώπων τὰ ἁμαρτήματα καὶ αἱ βλασφημίαι ὅσας ἐὰν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βλασφημε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βλασφημήσωσιν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ὃς δ᾿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❼❼ 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βλασφημε σα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βλασφημήσῃ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Πνεῦμα τὸ ῞Αγιον,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ἄφεσιν εἰς τὸν αἰῶνα, ἀλλ᾿ ἔνοχός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αἰωνίου κρίσεως·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πνεῦμα ἀκάθαρτον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ἐρχ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῎Ερχονται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οὖν ἡ μήτηρ αὐτοῦ καὶ οἱ ἀδελφοὶ αὐτοῦ, καὶ ἔξω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ἑ στα οτ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ἑστῶτες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στελ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ἀπέστειλαν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φωνε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φωνοῦντες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καθη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ἐκάθητο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περὶ αὐτὸν ὄχλος·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επ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αὐτῷ· ἰδοὺ ἡ μήτηρ σου καὶ οἱ ἀδελφοί σου ἔξω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ζητε ο νσί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ζητοῦσί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σε.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κρι θη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ἀπεκρίθη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τίς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μήτηρ μου ἢ οἱ ἀδελφοί μου;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περι βλεπ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περιβλεψάμενος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κύκλῳ τοὺς περὶ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ε μεν ους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καθημένους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λέγει· ἴδε ἡ μήτηρ μου καὶ οἱ ἀδελφοί μου· ὃς γὰρ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title=❹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σ 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θέλημα τοῦ Θεοῦ, οὗτος ἀδελφός μου καὶ ἀδελφή μου καὶ μήτηρ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6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