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&lt;!Mouseover Philippians 3 Morphologised&gt;</w:t>
      </w:r>
    </w:p>
    <w:p w:rsidR="00000000" w:rsidDel="00000000" w:rsidP="00000000" w:rsidRDefault="00000000" w:rsidRPr="00000000" w14:paraId="00000002">
      <w:pPr>
        <w:rPr/>
      </w:pPr>
      <w:r w:rsidDel="00000000" w:rsidR="00000000" w:rsidRPr="00000000">
        <w:rPr>
          <w:rtl w:val="0"/>
        </w:rPr>
        <w:t xml:space="preserve">&lt;html&gt;</w:t>
      </w:r>
    </w:p>
    <w:p w:rsidR="00000000" w:rsidDel="00000000" w:rsidP="00000000" w:rsidRDefault="00000000" w:rsidRPr="00000000" w14:paraId="00000003">
      <w:pPr>
        <w:rPr/>
      </w:pPr>
      <w:r w:rsidDel="00000000" w:rsidR="00000000" w:rsidRPr="00000000">
        <w:rPr>
          <w:rtl w:val="0"/>
        </w:rPr>
        <w:t xml:space="preserve">&lt;head&gt;</w:t>
      </w:r>
    </w:p>
    <w:p w:rsidR="00000000" w:rsidDel="00000000" w:rsidP="00000000" w:rsidRDefault="00000000" w:rsidRPr="00000000" w14:paraId="00000004">
      <w:pPr>
        <w:rPr/>
      </w:pPr>
      <w:r w:rsidDel="00000000" w:rsidR="00000000" w:rsidRPr="00000000">
        <w:rPr>
          <w:rtl w:val="0"/>
        </w:rPr>
        <w:t xml:space="preserve">&lt;meta name="viewport" content="width=device-width, initial-scale=1"&gt;</w:t>
      </w:r>
    </w:p>
    <w:p w:rsidR="00000000" w:rsidDel="00000000" w:rsidP="00000000" w:rsidRDefault="00000000" w:rsidRPr="00000000" w14:paraId="00000005">
      <w:pPr>
        <w:rPr/>
      </w:pPr>
      <w:r w:rsidDel="00000000" w:rsidR="00000000" w:rsidRPr="00000000">
        <w:rPr>
          <w:rtl w:val="0"/>
        </w:rPr>
        <w:t xml:space="preserve">&lt;style&gt;</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  box-sizing: border-box;</w:t>
      </w:r>
    </w:p>
    <w:p w:rsidR="00000000" w:rsidDel="00000000" w:rsidP="00000000" w:rsidRDefault="00000000" w:rsidRPr="00000000" w14:paraId="00000008">
      <w:pPr>
        <w:rPr/>
      </w:pPr>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Create two unequal columns that floats next to each other */</w:t>
      </w:r>
    </w:p>
    <w:p w:rsidR="00000000" w:rsidDel="00000000" w:rsidP="00000000" w:rsidRDefault="00000000" w:rsidRPr="00000000" w14:paraId="0000000B">
      <w:pPr>
        <w:rPr/>
      </w:pPr>
      <w:r w:rsidDel="00000000" w:rsidR="00000000" w:rsidRPr="00000000">
        <w:rPr>
          <w:rtl w:val="0"/>
        </w:rPr>
        <w:t xml:space="preserve">.column {</w:t>
      </w:r>
    </w:p>
    <w:p w:rsidR="00000000" w:rsidDel="00000000" w:rsidP="00000000" w:rsidRDefault="00000000" w:rsidRPr="00000000" w14:paraId="0000000C">
      <w:pPr>
        <w:rPr/>
      </w:pPr>
      <w:r w:rsidDel="00000000" w:rsidR="00000000" w:rsidRPr="00000000">
        <w:rPr>
          <w:rtl w:val="0"/>
        </w:rPr>
        <w:t xml:space="preserve">  float: left;</w:t>
      </w:r>
    </w:p>
    <w:p w:rsidR="00000000" w:rsidDel="00000000" w:rsidP="00000000" w:rsidRDefault="00000000" w:rsidRPr="00000000" w14:paraId="0000000D">
      <w:pPr>
        <w:rPr/>
      </w:pPr>
      <w:r w:rsidDel="00000000" w:rsidR="00000000" w:rsidRPr="00000000">
        <w:rPr>
          <w:rtl w:val="0"/>
        </w:rPr>
        <w:t xml:space="preserve">  padding: 10px;</w:t>
      </w:r>
    </w:p>
    <w:p w:rsidR="00000000" w:rsidDel="00000000" w:rsidP="00000000" w:rsidRDefault="00000000" w:rsidRPr="00000000" w14:paraId="0000000E">
      <w:pPr>
        <w:rPr/>
      </w:pPr>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.left {</w:t>
      </w:r>
    </w:p>
    <w:p w:rsidR="00000000" w:rsidDel="00000000" w:rsidP="00000000" w:rsidRDefault="00000000" w:rsidRPr="00000000" w14:paraId="00000011">
      <w:pPr>
        <w:rPr/>
      </w:pPr>
      <w:r w:rsidDel="00000000" w:rsidR="00000000" w:rsidRPr="00000000">
        <w:rPr>
          <w:rtl w:val="0"/>
        </w:rPr>
        <w:t xml:space="preserve">  width: 80%;</w:t>
      </w:r>
    </w:p>
    <w:p w:rsidR="00000000" w:rsidDel="00000000" w:rsidP="00000000" w:rsidRDefault="00000000" w:rsidRPr="00000000" w14:paraId="00000012">
      <w:pPr>
        <w:rPr/>
      </w:pPr>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.right {</w:t>
      </w:r>
    </w:p>
    <w:p w:rsidR="00000000" w:rsidDel="00000000" w:rsidP="00000000" w:rsidRDefault="00000000" w:rsidRPr="00000000" w14:paraId="00000015">
      <w:pPr>
        <w:rPr/>
      </w:pPr>
      <w:r w:rsidDel="00000000" w:rsidR="00000000" w:rsidRPr="00000000">
        <w:rPr>
          <w:rtl w:val="0"/>
        </w:rPr>
        <w:t xml:space="preserve">  width: 20%;</w:t>
      </w:r>
    </w:p>
    <w:p w:rsidR="00000000" w:rsidDel="00000000" w:rsidP="00000000" w:rsidRDefault="00000000" w:rsidRPr="00000000" w14:paraId="00000016">
      <w:pPr>
        <w:rPr/>
      </w:pPr>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 Clear floats after the columns */</w:t>
      </w:r>
    </w:p>
    <w:p w:rsidR="00000000" w:rsidDel="00000000" w:rsidP="00000000" w:rsidRDefault="00000000" w:rsidRPr="00000000" w14:paraId="00000019">
      <w:pPr>
        <w:rPr/>
      </w:pPr>
      <w:r w:rsidDel="00000000" w:rsidR="00000000" w:rsidRPr="00000000">
        <w:rPr>
          <w:rtl w:val="0"/>
        </w:rPr>
        <w:t xml:space="preserve">.row:after {</w:t>
      </w:r>
    </w:p>
    <w:p w:rsidR="00000000" w:rsidDel="00000000" w:rsidP="00000000" w:rsidRDefault="00000000" w:rsidRPr="00000000" w14:paraId="0000001A">
      <w:pPr>
        <w:rPr/>
      </w:pPr>
      <w:r w:rsidDel="00000000" w:rsidR="00000000" w:rsidRPr="00000000">
        <w:rPr>
          <w:rtl w:val="0"/>
        </w:rPr>
        <w:t xml:space="preserve">  content: "";</w:t>
      </w:r>
    </w:p>
    <w:p w:rsidR="00000000" w:rsidDel="00000000" w:rsidP="00000000" w:rsidRDefault="00000000" w:rsidRPr="00000000" w14:paraId="0000001B">
      <w:pPr>
        <w:rPr/>
      </w:pPr>
      <w:r w:rsidDel="00000000" w:rsidR="00000000" w:rsidRPr="00000000">
        <w:rPr>
          <w:rtl w:val="0"/>
        </w:rPr>
        <w:t xml:space="preserve">  display: table;</w:t>
      </w:r>
    </w:p>
    <w:p w:rsidR="00000000" w:rsidDel="00000000" w:rsidP="00000000" w:rsidRDefault="00000000" w:rsidRPr="00000000" w14:paraId="0000001C">
      <w:pPr>
        <w:rPr/>
      </w:pPr>
      <w:r w:rsidDel="00000000" w:rsidR="00000000" w:rsidRPr="00000000">
        <w:rPr>
          <w:rtl w:val="0"/>
        </w:rPr>
        <w:t xml:space="preserve">  clear: both;</w:t>
      </w:r>
    </w:p>
    <w:p w:rsidR="00000000" w:rsidDel="00000000" w:rsidP="00000000" w:rsidRDefault="00000000" w:rsidRPr="00000000" w14:paraId="0000001D">
      <w:pPr>
        <w:rPr/>
      </w:pPr>
      <w:r w:rsidDel="00000000" w:rsidR="00000000" w:rsidRPr="00000000">
        <w:rPr>
          <w:rtl w:val="0"/>
        </w:rPr>
        <w:t xml:space="preserve">}</w:t>
      </w:r>
    </w:p>
    <w:p w:rsidR="00000000" w:rsidDel="00000000" w:rsidP="00000000" w:rsidRDefault="00000000" w:rsidRPr="00000000" w14:paraId="0000001E">
      <w:pPr>
        <w:rPr/>
      </w:pPr>
      <w:r w:rsidDel="00000000" w:rsidR="00000000" w:rsidRPr="00000000">
        <w:rPr>
          <w:rtl w:val="0"/>
        </w:rPr>
        <w:t xml:space="preserve">&lt;/style&gt;</w:t>
      </w:r>
    </w:p>
    <w:p w:rsidR="00000000" w:rsidDel="00000000" w:rsidP="00000000" w:rsidRDefault="00000000" w:rsidRPr="00000000" w14:paraId="0000001F">
      <w:pPr>
        <w:rPr/>
      </w:pPr>
      <w:r w:rsidDel="00000000" w:rsidR="00000000" w:rsidRPr="00000000">
        <w:rPr>
          <w:rtl w:val="0"/>
        </w:rPr>
        <w:t xml:space="preserve">&lt;/head&gt;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&lt;body&gt;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&lt;div&gt;</w:t>
      </w:r>
    </w:p>
    <w:p w:rsidR="00000000" w:rsidDel="00000000" w:rsidP="00000000" w:rsidRDefault="00000000" w:rsidRPr="00000000" w14:paraId="00000025">
      <w:pPr>
        <w:rPr/>
      </w:pPr>
      <w:r w:rsidDel="00000000" w:rsidR="00000000" w:rsidRPr="00000000">
        <w:rPr>
          <w:rtl w:val="0"/>
        </w:rPr>
        <w:t xml:space="preserve">&lt;p&gt;&lt;u&gt;Learn to Read the Greek New Testament&lt;/u&gt; by B. Ward Powers.&lt;/p&gt;</w:t>
      </w:r>
    </w:p>
    <w:p w:rsidR="00000000" w:rsidDel="00000000" w:rsidP="00000000" w:rsidRDefault="00000000" w:rsidRPr="00000000" w14:paraId="00000026">
      <w:pPr>
        <w:rPr/>
      </w:pPr>
      <w:r w:rsidDel="00000000" w:rsidR="00000000" w:rsidRPr="00000000">
        <w:rPr>
          <w:rtl w:val="0"/>
        </w:rPr>
        <w:t xml:space="preserve">&lt;p&gt; &lt;/p&gt;</w:t>
      </w:r>
    </w:p>
    <w:p w:rsidR="00000000" w:rsidDel="00000000" w:rsidP="00000000" w:rsidRDefault="00000000" w:rsidRPr="00000000" w14:paraId="00000027">
      <w:pPr>
        <w:rPr/>
      </w:pPr>
      <w:r w:rsidDel="00000000" w:rsidR="00000000" w:rsidRPr="00000000">
        <w:rPr>
          <w:rtl w:val="0"/>
        </w:rPr>
        <w:t xml:space="preserve">&lt;p&gt;Intermediate Course Reference Material (prepared by S. Geoff Hughes).&lt;/p&gt;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&lt;p&gt;&lt;span&gt;&lt;a href="Append.A"&gt;Appendix Explanations&lt;/a&gt; | &lt;/span&gt; Mouse-over Morphologisation of Greek Texts.&lt;/p&gt;</w:t>
      </w:r>
    </w:p>
    <w:p w:rsidR="00000000" w:rsidDel="00000000" w:rsidP="00000000" w:rsidRDefault="00000000" w:rsidRPr="00000000" w14:paraId="0000002A">
      <w:pPr>
        <w:rPr/>
      </w:pPr>
      <w:r w:rsidDel="00000000" w:rsidR="00000000" w:rsidRPr="00000000">
        <w:rPr>
          <w:rtl w:val="0"/>
        </w:rPr>
        <w:t xml:space="preserve">&lt;/div&gt;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&lt;div class="row"&gt;</w:t>
      </w:r>
    </w:p>
    <w:p w:rsidR="00000000" w:rsidDel="00000000" w:rsidP="00000000" w:rsidRDefault="00000000" w:rsidRPr="00000000" w14:paraId="0000002D">
      <w:pPr>
        <w:rPr/>
      </w:pPr>
      <w:r w:rsidDel="00000000" w:rsidR="00000000" w:rsidRPr="00000000">
        <w:rPr>
          <w:rtl w:val="0"/>
        </w:rPr>
        <w:t xml:space="preserve">&lt;div class="column" style="background-color:#ddd;"&gt;</w:t>
      </w:r>
    </w:p>
    <w:p w:rsidR="00000000" w:rsidDel="00000000" w:rsidP="00000000" w:rsidRDefault="00000000" w:rsidRPr="00000000" w14:paraId="0000002E">
      <w:pPr>
        <w:rPr/>
      </w:pPr>
      <w:r w:rsidDel="00000000" w:rsidR="00000000" w:rsidRPr="00000000">
        <w:rPr>
          <w:rtl w:val="0"/>
        </w:rPr>
        <w:t xml:space="preserve">&lt;u&gt;Mark&lt;/u&gt;</w:t>
      </w:r>
    </w:p>
    <w:p w:rsidR="00000000" w:rsidDel="00000000" w:rsidP="00000000" w:rsidRDefault="00000000" w:rsidRPr="00000000" w14:paraId="0000002F">
      <w:pPr>
        <w:rPr/>
      </w:pPr>
      <w:r w:rsidDel="00000000" w:rsidR="00000000" w:rsidRPr="00000000">
        <w:rPr>
          <w:rtl w:val="0"/>
        </w:rPr>
        <w:t xml:space="preserve">&lt;p&gt;&lt;span&gt;&lt;a href="MorphMark.1"&gt;1&lt;/a&gt; | &lt;/span&gt;</w:t>
      </w:r>
    </w:p>
    <w:p w:rsidR="00000000" w:rsidDel="00000000" w:rsidP="00000000" w:rsidRDefault="00000000" w:rsidRPr="00000000" w14:paraId="00000030">
      <w:pPr>
        <w:rPr/>
      </w:pPr>
      <w:r w:rsidDel="00000000" w:rsidR="00000000" w:rsidRPr="00000000">
        <w:rPr>
          <w:rtl w:val="0"/>
        </w:rPr>
        <w:t xml:space="preserve">&lt;span&gt;&lt;a href="MorphMark.2"&gt;2&lt;/a&gt; | &lt;/span&gt;</w:t>
      </w:r>
    </w:p>
    <w:p w:rsidR="00000000" w:rsidDel="00000000" w:rsidP="00000000" w:rsidRDefault="00000000" w:rsidRPr="00000000" w14:paraId="00000031">
      <w:pPr>
        <w:rPr/>
      </w:pPr>
      <w:r w:rsidDel="00000000" w:rsidR="00000000" w:rsidRPr="00000000">
        <w:rPr>
          <w:rtl w:val="0"/>
        </w:rPr>
        <w:t xml:space="preserve">&lt;span&gt;&lt;a href="MorphMark.3"&gt;3&lt;/a&gt; | &lt;/span&gt;</w:t>
      </w:r>
    </w:p>
    <w:p w:rsidR="00000000" w:rsidDel="00000000" w:rsidP="00000000" w:rsidRDefault="00000000" w:rsidRPr="00000000" w14:paraId="00000032">
      <w:pPr>
        <w:rPr/>
      </w:pPr>
      <w:r w:rsidDel="00000000" w:rsidR="00000000" w:rsidRPr="00000000">
        <w:rPr>
          <w:rtl w:val="0"/>
        </w:rPr>
        <w:t xml:space="preserve">&lt;span&gt;&lt;a href="MorphMark.4"&gt;4&lt;/a&gt; | &lt;/span&gt;</w:t>
      </w:r>
    </w:p>
    <w:p w:rsidR="00000000" w:rsidDel="00000000" w:rsidP="00000000" w:rsidRDefault="00000000" w:rsidRPr="00000000" w14:paraId="00000033">
      <w:pPr>
        <w:rPr/>
      </w:pPr>
      <w:r w:rsidDel="00000000" w:rsidR="00000000" w:rsidRPr="00000000">
        <w:rPr>
          <w:rtl w:val="0"/>
        </w:rPr>
        <w:t xml:space="preserve">&lt;span&gt;&lt;a href="MorphMark.5"&gt;5&lt;/a&gt; | &lt;/span&gt;</w:t>
      </w:r>
    </w:p>
    <w:p w:rsidR="00000000" w:rsidDel="00000000" w:rsidP="00000000" w:rsidRDefault="00000000" w:rsidRPr="00000000" w14:paraId="00000034">
      <w:pPr>
        <w:rPr/>
      </w:pPr>
      <w:r w:rsidDel="00000000" w:rsidR="00000000" w:rsidRPr="00000000">
        <w:rPr>
          <w:rtl w:val="0"/>
        </w:rPr>
        <w:t xml:space="preserve">&lt;span&gt;&lt;a href="MorphMark.6"&gt;6&lt;/a&gt; | &lt;/span&gt;</w:t>
      </w:r>
    </w:p>
    <w:p w:rsidR="00000000" w:rsidDel="00000000" w:rsidP="00000000" w:rsidRDefault="00000000" w:rsidRPr="00000000" w14:paraId="00000035">
      <w:pPr>
        <w:rPr/>
      </w:pPr>
      <w:r w:rsidDel="00000000" w:rsidR="00000000" w:rsidRPr="00000000">
        <w:rPr>
          <w:rtl w:val="0"/>
        </w:rPr>
        <w:t xml:space="preserve">&lt;span&gt;&lt;a href="MorphMark.7"&gt;7&lt;/a&gt; | &lt;/span&gt;</w:t>
      </w:r>
    </w:p>
    <w:p w:rsidR="00000000" w:rsidDel="00000000" w:rsidP="00000000" w:rsidRDefault="00000000" w:rsidRPr="00000000" w14:paraId="00000036">
      <w:pPr>
        <w:rPr/>
      </w:pPr>
      <w:r w:rsidDel="00000000" w:rsidR="00000000" w:rsidRPr="00000000">
        <w:rPr>
          <w:rtl w:val="0"/>
        </w:rPr>
        <w:t xml:space="preserve">&lt;span&gt;&lt;a href="MorphMark.8"&gt;8&lt;/a&gt; | &lt;/span&gt;</w:t>
      </w:r>
    </w:p>
    <w:p w:rsidR="00000000" w:rsidDel="00000000" w:rsidP="00000000" w:rsidRDefault="00000000" w:rsidRPr="00000000" w14:paraId="00000037">
      <w:pPr>
        <w:rPr/>
      </w:pPr>
      <w:r w:rsidDel="00000000" w:rsidR="00000000" w:rsidRPr="00000000">
        <w:rPr>
          <w:rtl w:val="0"/>
        </w:rPr>
        <w:t xml:space="preserve">&lt;span&gt;&lt;a href="MorphMark.9"&gt;9&lt;/a&gt; | &lt;/span&gt;</w:t>
      </w:r>
    </w:p>
    <w:p w:rsidR="00000000" w:rsidDel="00000000" w:rsidP="00000000" w:rsidRDefault="00000000" w:rsidRPr="00000000" w14:paraId="00000038">
      <w:pPr>
        <w:rPr/>
      </w:pPr>
      <w:r w:rsidDel="00000000" w:rsidR="00000000" w:rsidRPr="00000000">
        <w:rPr>
          <w:rtl w:val="0"/>
        </w:rPr>
        <w:t xml:space="preserve">&lt;span&gt;&lt;a href="MorphMark.10"&gt;10&lt;/a&gt; | &lt;/span&gt;</w:t>
      </w:r>
    </w:p>
    <w:p w:rsidR="00000000" w:rsidDel="00000000" w:rsidP="00000000" w:rsidRDefault="00000000" w:rsidRPr="00000000" w14:paraId="00000039">
      <w:pPr>
        <w:rPr/>
      </w:pPr>
      <w:r w:rsidDel="00000000" w:rsidR="00000000" w:rsidRPr="00000000">
        <w:rPr>
          <w:rtl w:val="0"/>
        </w:rPr>
        <w:t xml:space="preserve">&lt;span&gt;&lt;a href="MorphMark.11"&gt;11&lt;/a&gt; | &lt;/span&gt;</w:t>
      </w:r>
    </w:p>
    <w:p w:rsidR="00000000" w:rsidDel="00000000" w:rsidP="00000000" w:rsidRDefault="00000000" w:rsidRPr="00000000" w14:paraId="0000003A">
      <w:pPr>
        <w:rPr/>
      </w:pPr>
      <w:r w:rsidDel="00000000" w:rsidR="00000000" w:rsidRPr="00000000">
        <w:rPr>
          <w:rtl w:val="0"/>
        </w:rPr>
        <w:t xml:space="preserve">&lt;span&gt;&lt;a href="MorphMark.12"&gt;12&lt;/a&gt; | &lt;/span&gt;</w:t>
      </w:r>
    </w:p>
    <w:p w:rsidR="00000000" w:rsidDel="00000000" w:rsidP="00000000" w:rsidRDefault="00000000" w:rsidRPr="00000000" w14:paraId="0000003B">
      <w:pPr>
        <w:rPr/>
      </w:pPr>
      <w:r w:rsidDel="00000000" w:rsidR="00000000" w:rsidRPr="00000000">
        <w:rPr>
          <w:rtl w:val="0"/>
        </w:rPr>
        <w:t xml:space="preserve">&lt;span&gt;&lt;a href="MorphMark.13"&gt;13&lt;/a&gt; | &lt;/span&gt;</w:t>
      </w:r>
    </w:p>
    <w:p w:rsidR="00000000" w:rsidDel="00000000" w:rsidP="00000000" w:rsidRDefault="00000000" w:rsidRPr="00000000" w14:paraId="0000003C">
      <w:pPr>
        <w:rPr/>
      </w:pPr>
      <w:r w:rsidDel="00000000" w:rsidR="00000000" w:rsidRPr="00000000">
        <w:rPr>
          <w:rtl w:val="0"/>
        </w:rPr>
        <w:t xml:space="preserve">&lt;span&gt;&lt;a href="MorphMark.14"&gt;14&lt;/a&gt; | &lt;/span&gt;</w:t>
      </w:r>
    </w:p>
    <w:p w:rsidR="00000000" w:rsidDel="00000000" w:rsidP="00000000" w:rsidRDefault="00000000" w:rsidRPr="00000000" w14:paraId="0000003D">
      <w:pPr>
        <w:rPr/>
      </w:pPr>
      <w:r w:rsidDel="00000000" w:rsidR="00000000" w:rsidRPr="00000000">
        <w:rPr>
          <w:rtl w:val="0"/>
        </w:rPr>
        <w:t xml:space="preserve">&lt;span&gt;&lt;a href="MorphMark.15"&gt;15&lt;/a&gt; | &lt;/span&gt;</w:t>
      </w:r>
    </w:p>
    <w:p w:rsidR="00000000" w:rsidDel="00000000" w:rsidP="00000000" w:rsidRDefault="00000000" w:rsidRPr="00000000" w14:paraId="0000003E">
      <w:pPr>
        <w:rPr/>
      </w:pPr>
      <w:r w:rsidDel="00000000" w:rsidR="00000000" w:rsidRPr="00000000">
        <w:rPr>
          <w:rtl w:val="0"/>
        </w:rPr>
        <w:t xml:space="preserve">&lt;span&gt;&lt;a href="MorphMark.16"&gt;16&lt;/a&gt; | &lt;/span&gt;&lt;/p&gt;</w:t>
      </w:r>
    </w:p>
    <w:p w:rsidR="00000000" w:rsidDel="00000000" w:rsidP="00000000" w:rsidRDefault="00000000" w:rsidRPr="00000000" w14:paraId="0000003F">
      <w:pPr>
        <w:rPr/>
      </w:pPr>
      <w:r w:rsidDel="00000000" w:rsidR="00000000" w:rsidRPr="00000000">
        <w:rPr>
          <w:rtl w:val="0"/>
        </w:rPr>
        <w:t xml:space="preserve">&lt;/div&gt;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&lt;div class="column" style="background-color:#eee;"&gt;</w:t>
      </w:r>
    </w:p>
    <w:p w:rsidR="00000000" w:rsidDel="00000000" w:rsidP="00000000" w:rsidRDefault="00000000" w:rsidRPr="00000000" w14:paraId="00000042">
      <w:pPr>
        <w:rPr/>
      </w:pPr>
      <w:r w:rsidDel="00000000" w:rsidR="00000000" w:rsidRPr="00000000">
        <w:rPr>
          <w:rtl w:val="0"/>
        </w:rPr>
        <w:t xml:space="preserve">&lt;u&gt;Philippians&lt;/u&gt;</w:t>
      </w:r>
    </w:p>
    <w:p w:rsidR="00000000" w:rsidDel="00000000" w:rsidP="00000000" w:rsidRDefault="00000000" w:rsidRPr="00000000" w14:paraId="00000043">
      <w:pPr>
        <w:rPr/>
      </w:pPr>
      <w:r w:rsidDel="00000000" w:rsidR="00000000" w:rsidRPr="00000000">
        <w:rPr>
          <w:rtl w:val="0"/>
        </w:rPr>
        <w:t xml:space="preserve">&lt;p&gt;&lt;span&gt;&lt;a href="MorphPhil.1"&gt;1&lt;/a&gt; | &lt;/span&gt;</w:t>
      </w:r>
    </w:p>
    <w:p w:rsidR="00000000" w:rsidDel="00000000" w:rsidP="00000000" w:rsidRDefault="00000000" w:rsidRPr="00000000" w14:paraId="00000044">
      <w:pPr>
        <w:rPr/>
      </w:pPr>
      <w:r w:rsidDel="00000000" w:rsidR="00000000" w:rsidRPr="00000000">
        <w:rPr>
          <w:rtl w:val="0"/>
        </w:rPr>
        <w:t xml:space="preserve">&lt;span&gt;&lt;a href="MorphPhil.2"&gt;2&lt;/a&gt; | &lt;/span&gt;</w:t>
      </w:r>
    </w:p>
    <w:p w:rsidR="00000000" w:rsidDel="00000000" w:rsidP="00000000" w:rsidRDefault="00000000" w:rsidRPr="00000000" w14:paraId="00000045">
      <w:pPr>
        <w:rPr/>
      </w:pPr>
      <w:r w:rsidDel="00000000" w:rsidR="00000000" w:rsidRPr="00000000">
        <w:rPr>
          <w:rtl w:val="0"/>
        </w:rPr>
        <w:t xml:space="preserve">&lt;span&gt;&lt;a href="MorphPhil.3"&gt;3&lt;/a&gt; | &lt;/span&gt;</w:t>
      </w:r>
    </w:p>
    <w:p w:rsidR="00000000" w:rsidDel="00000000" w:rsidP="00000000" w:rsidRDefault="00000000" w:rsidRPr="00000000" w14:paraId="00000046">
      <w:pPr>
        <w:rPr/>
      </w:pPr>
      <w:r w:rsidDel="00000000" w:rsidR="00000000" w:rsidRPr="00000000">
        <w:rPr>
          <w:rtl w:val="0"/>
        </w:rPr>
        <w:t xml:space="preserve">&lt;span&gt;&lt;a href="MorphPhil.4"&gt;4&lt;/a&gt; | &lt;/span&gt;&lt;/p&gt;</w:t>
      </w:r>
    </w:p>
    <w:p w:rsidR="00000000" w:rsidDel="00000000" w:rsidP="00000000" w:rsidRDefault="00000000" w:rsidRPr="00000000" w14:paraId="00000047">
      <w:pPr>
        <w:rPr/>
      </w:pPr>
      <w:r w:rsidDel="00000000" w:rsidR="00000000" w:rsidRPr="00000000">
        <w:rPr>
          <w:rtl w:val="0"/>
        </w:rPr>
        <w:t xml:space="preserve">&lt;/div&gt;</w:t>
      </w:r>
    </w:p>
    <w:p w:rsidR="00000000" w:rsidDel="00000000" w:rsidP="00000000" w:rsidRDefault="00000000" w:rsidRPr="00000000" w14:paraId="00000048">
      <w:pPr>
        <w:rPr/>
      </w:pPr>
      <w:r w:rsidDel="00000000" w:rsidR="00000000" w:rsidRPr="00000000">
        <w:rPr>
          <w:rtl w:val="0"/>
        </w:rPr>
        <w:t xml:space="preserve">&lt;/div&gt;</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&lt;div&gt;</w:t>
      </w:r>
    </w:p>
    <w:p w:rsidR="00000000" w:rsidDel="00000000" w:rsidP="00000000" w:rsidRDefault="00000000" w:rsidRPr="00000000" w14:paraId="0000004B">
      <w:pPr>
        <w:rPr/>
      </w:pPr>
      <w:r w:rsidDel="00000000" w:rsidR="00000000" w:rsidRPr="00000000">
        <w:rPr>
          <w:rtl w:val="0"/>
        </w:rPr>
        <w:t xml:space="preserve">&lt;p&gt;&lt;b&gt;Philippians&amp;nbsp;3&lt;/b&gt;&lt;/p&gt;</w:t>
      </w:r>
    </w:p>
    <w:p w:rsidR="00000000" w:rsidDel="00000000" w:rsidP="00000000" w:rsidRDefault="00000000" w:rsidRPr="00000000" w14:paraId="0000004C">
      <w:pPr>
        <w:rPr/>
      </w:pPr>
      <w:r w:rsidDel="00000000" w:rsidR="00000000" w:rsidRPr="00000000">
        <w:rPr>
          <w:rtl w:val="0"/>
        </w:rPr>
        <w:t xml:space="preserve">&lt;/div&gt;</w:t>
      </w:r>
    </w:p>
    <w:p w:rsidR="00000000" w:rsidDel="00000000" w:rsidP="00000000" w:rsidRDefault="00000000" w:rsidRPr="00000000" w14:paraId="0000004D">
      <w:pPr>
        <w:spacing w:after="240" w:before="240" w:lineRule="auto"/>
        <w:rPr>
          <w:sz w:val="26"/>
          <w:szCs w:val="26"/>
        </w:rPr>
      </w:pPr>
      <w:r w:rsidDel="00000000" w:rsidR="00000000" w:rsidRPr="00000000">
        <w:rPr>
          <w:rtl w:val="0"/>
        </w:rPr>
        <w:t xml:space="preserve">&lt;p&gt;</w:t>
      </w:r>
      <w:r w:rsidDel="00000000" w:rsidR="00000000" w:rsidRPr="00000000">
        <w:rPr>
          <w:sz w:val="26"/>
          <w:szCs w:val="26"/>
          <w:rtl w:val="0"/>
        </w:rPr>
        <w:t xml:space="preserve">Τὸ λοιπόν, ἀδελφοί μου, χαίρετε ἐν Κυρίῳ. τὰ αὐτὰ γράφειν ὑμῖν ἐμοὶ μὲν οὐκ ὀκνηρόν, ὑμῖν δὲ ἀσφαλές. Βλέπετε τοὺς κύνας, βλέπετε τοὺς κακοὺς ἐργάτας, βλέπετε τὴν κατατομήν· ἡμεῖς γάρ ἐσμεν ἡ περιτομή, οἱ Πνεύματι Θεοῦ λατρεύοντες καὶ καυχώμενοι ἐν Χριστῷ ᾿Ιησοῦ καὶ οὐκ ἐν σαρκὶ πεποιθότες, καίπερ ἐγὼ ἔχων πεποίθησιν καὶ ἐν σαρκί. εἴ τις δοκεῖ ἄλλος πεποιθέναι ἐν σαρκί, ἐγὼ μᾶλλον· περιτομῇ ὀκταήμερος, ἐκ γένους ᾿Ισραήλ, φυλῆς Βενιαμίν, ῾Εβραῖος ἐξ ῾Εβραίων, κατὰ νόμον Φαρισαῖος, κατὰ ζῆλον διώκων τὴν ἐκκλησίαν, κατὰ δικαιοσύνην τὴν ἐν νόμῳ γενόμενος ἄμεμπτος. ἀλλ᾽ ἅτινα ἦν μοι κέρδη, ταῦτα ἥγημαι διὰ τὸν Χριστὸν ζημίαν. ἀλλὰ μενοῦνγε καὶ ἡγοῦμαι πάντα ζημίαν εἶναι διὰ τὸ ὑπερέχον τῆς γνώσεως Χριστοῦ ᾿Ιησοῦ τοῦ Κυρίου μου, δι᾽ ὃν τὰ πάντα ἐζημιώθην, καὶ ἡγοῦμαι σκύβαλα εἶναι ἵνα Χριστὸν κερδήσω καὶ εὑρεθῶ ἐν αὐτῷ μὴ ἔχων ἐμὴν δικαιοσύνην τὴν ἐκ νόμου, ἀλλὰ τὴν διὰ πίστεως Χριστοῦ, τὴν ἐκ Θεοῦ δικαιοσύνην ἐπὶ τῇ πίστει, τοῦ γνῶναι αὐτὸν καὶ τὴν δύναμιν τῆς ἀναστάσεως αὐτοῦ καὶ τὴν κοινωνίαν τῶν παθημάτων αὐτοῦ, συμμορφούμενος τῷ θανάτῳ αὐτοῦ, εἴ πως καταντήσω εἰς τὴν ἐξανάστασιν τῶν νεκρῶν. οὐχ ὅτι ἤδη ἔλαβον ἢ ἤδη τετελείωμαι, διώκω δὲ εἰ καὶ καταλάβω, ἐφ ᾧ καὶ κατελήφθην ὑπὸ τοῦ Χριστοῦ ᾿Ιησοῦ. ἀδελφοί, ἐγὼ ἐμαυτὸν οὔπω λογίζομαι κατειληφέναι· ἓν δέ, τὰ μὲν ὀπίσω ἐπιλανθανόμενος τοῖς δὲ ἔμπροσθεν ἐπεκτεινόμενος κατὰ σκοπὸν διώκω ἐπὶ τὸ βραβεῖον τῆς ἄνω κλήσεως τοῦ Θεοῦ ἐν Χριστῷ ᾿Ιησοῦ. ὅσοι οὖν τέλειοι, τοῦτο φρονῶμεν· καὶ εἴ τι ἑτέρως φρονεῖτε, καὶ τοῦτο ὁ Θεὸς ὑμῖν ἀποκαλύψει. πλὴν εἰς ὃ ἐφθάσαμεν, τῷ αὐτῷ στοιχεῖν κανόνι, τὸ αὐτὸ φρονεῖν.</w:t>
      </w:r>
    </w:p>
    <w:p w:rsidR="00000000" w:rsidDel="00000000" w:rsidP="00000000" w:rsidRDefault="00000000" w:rsidRPr="00000000" w14:paraId="0000004E">
      <w:pPr>
        <w:spacing w:after="280" w:before="280" w:lineRule="auto"/>
        <w:rPr/>
      </w:pPr>
      <w:r w:rsidDel="00000000" w:rsidR="00000000" w:rsidRPr="00000000">
        <w:rPr>
          <w:sz w:val="26"/>
          <w:szCs w:val="26"/>
          <w:rtl w:val="0"/>
        </w:rPr>
        <w:t xml:space="preserve">Συμμιμηταί μου γίνεσθε, ἀδελφοί, καὶ σκοπεῖτε τοὺς οὕτω περιπατοῦντας, καθὼς ἔχετε τύπον ἡμᾶς. πολλοὶ γὰρ περιπατοῦσιν, – οὓς πολλάκις ἔλεγον ὑμῖν, νῦν δὲ καὶ κλαίων λέγω, τοὺς ἐχθροὺς τοῦ σταυροῦ τοῦ Χριστοῦ, ὧν τὸ τέλος ἀπώλεια, ὧν ὁ Θεὸς ἡ κοιλία καὶ ἡ δόξα ἐν τῇ αἰσχύνῃ αὐτῶν, οἱ τὰ ἐπίγεια φρονοῦντες! ἡμῶν γὰρ τὸ πολίτευμα ἐν οὐρανοῖς ὑπάρχει, ἐξ οὗ καὶ σωτῆρα ἀπεκδεχόμεθα Κύριον ᾿Ιησοῦν Χριστόν, ὃς μετασχηματίσει τὸ σῶμα τῆς ταπεινώσεως ἡμῶν εἰς τὸ γενέσθαι αὐτὸ σύμμορφον τῷ σώματι τῆς δόξης αὐτοῦ κατὰ τὴν ἐνέργειαν τοῦ δύνασθαι αὐτὸν καὶ ὑποτάξαι αὐτῷ τὰ πάντα. </w:t>
      </w:r>
      <w:r w:rsidDel="00000000" w:rsidR="00000000" w:rsidRPr="00000000">
        <w:rPr>
          <w:rtl w:val="0"/>
        </w:rPr>
        <w:t xml:space="preserve">&lt;/p&gt;</w:t>
      </w:r>
    </w:p>
    <w:p w:rsidR="00000000" w:rsidDel="00000000" w:rsidP="00000000" w:rsidRDefault="00000000" w:rsidRPr="00000000" w14:paraId="0000004F">
      <w:pPr>
        <w:spacing w:after="460" w:lineRule="auto"/>
        <w:rPr/>
      </w:pPr>
      <w:r w:rsidDel="00000000" w:rsidR="00000000" w:rsidRPr="00000000">
        <w:rPr>
          <w:rtl w:val="0"/>
        </w:rPr>
        <w:t xml:space="preserve">&lt;/body&gt;</w:t>
      </w:r>
    </w:p>
    <w:p w:rsidR="00000000" w:rsidDel="00000000" w:rsidP="00000000" w:rsidRDefault="00000000" w:rsidRPr="00000000" w14:paraId="00000050">
      <w:pPr>
        <w:rPr/>
      </w:pPr>
      <w:r w:rsidDel="00000000" w:rsidR="00000000" w:rsidRPr="00000000">
        <w:rPr>
          <w:rtl w:val="0"/>
        </w:rPr>
        <w:t xml:space="preserve">&lt;/html&gt;</w:t>
      </w:r>
    </w:p>
    <w:p w:rsidR="00000000" w:rsidDel="00000000" w:rsidP="00000000" w:rsidRDefault="00000000" w:rsidRPr="00000000" w14:paraId="00000051">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